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6" w:rsidRDefault="001523E6" w:rsidP="001523E6">
      <w:pPr>
        <w:adjustRightInd w:val="0"/>
        <w:snapToGrid w:val="0"/>
        <w:spacing w:line="620" w:lineRule="exact"/>
        <w:ind w:right="669"/>
        <w:jc w:val="left"/>
        <w:rPr>
          <w:rFonts w:ascii="黑体" w:eastAsia="黑体" w:hAnsi="黑体" w:cs="仿宋" w:hint="eastAsia"/>
          <w:bCs/>
          <w:snapToGrid w:val="0"/>
          <w:spacing w:val="0"/>
          <w:kern w:val="0"/>
          <w:sz w:val="30"/>
          <w:szCs w:val="30"/>
        </w:rPr>
      </w:pPr>
      <w:r>
        <w:rPr>
          <w:rFonts w:ascii="黑体" w:eastAsia="黑体" w:hAnsi="黑体" w:cs="仿宋" w:hint="eastAsia"/>
          <w:bCs/>
          <w:snapToGrid w:val="0"/>
          <w:spacing w:val="0"/>
          <w:kern w:val="0"/>
          <w:sz w:val="30"/>
          <w:szCs w:val="30"/>
        </w:rPr>
        <w:t>附件2</w:t>
      </w:r>
    </w:p>
    <w:p w:rsidR="001523E6" w:rsidRDefault="001523E6" w:rsidP="001523E6">
      <w:pPr>
        <w:adjustRightInd w:val="0"/>
        <w:snapToGrid w:val="0"/>
        <w:spacing w:line="620" w:lineRule="exact"/>
        <w:ind w:right="669"/>
        <w:jc w:val="center"/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</w:pPr>
      <w:r w:rsidRPr="00E23CB1"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  <w:t>线下</w:t>
      </w:r>
      <w:r w:rsidRPr="00E23CB1">
        <w:rPr>
          <w:rFonts w:ascii="黑体" w:eastAsia="黑体" w:hAnsi="黑体" w:cs="仿宋"/>
          <w:bCs/>
          <w:snapToGrid w:val="0"/>
          <w:spacing w:val="0"/>
          <w:kern w:val="0"/>
          <w:szCs w:val="32"/>
        </w:rPr>
        <w:t>“</w:t>
      </w:r>
      <w:r w:rsidRPr="00E23CB1"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  <w:t>红色故事大赛</w:t>
      </w:r>
      <w:r w:rsidRPr="00E23CB1">
        <w:rPr>
          <w:rFonts w:ascii="黑体" w:eastAsia="黑体" w:hAnsi="黑体" w:cs="仿宋"/>
          <w:bCs/>
          <w:snapToGrid w:val="0"/>
          <w:spacing w:val="0"/>
          <w:kern w:val="0"/>
          <w:szCs w:val="32"/>
        </w:rPr>
        <w:t>”</w:t>
      </w:r>
      <w:r w:rsidRPr="00E23CB1"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  <w:t>评分标准</w:t>
      </w:r>
    </w:p>
    <w:p w:rsidR="001523E6" w:rsidRPr="00E23CB1" w:rsidRDefault="001523E6" w:rsidP="001523E6">
      <w:pPr>
        <w:adjustRightInd w:val="0"/>
        <w:snapToGrid w:val="0"/>
        <w:spacing w:line="620" w:lineRule="exact"/>
        <w:ind w:right="669"/>
        <w:jc w:val="center"/>
        <w:rPr>
          <w:rFonts w:ascii="黑体" w:eastAsia="黑体" w:hAnsi="黑体" w:cs="仿宋"/>
          <w:bCs/>
          <w:snapToGrid w:val="0"/>
          <w:spacing w:val="0"/>
          <w:kern w:val="0"/>
          <w:szCs w:val="3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6056"/>
        <w:gridCol w:w="1443"/>
      </w:tblGrid>
      <w:tr w:rsidR="001523E6" w:rsidRPr="001523E6" w:rsidTr="0005790A">
        <w:trPr>
          <w:trHeight w:val="730"/>
          <w:jc w:val="center"/>
        </w:trPr>
        <w:tc>
          <w:tcPr>
            <w:tcW w:w="1491" w:type="dxa"/>
            <w:vAlign w:val="center"/>
          </w:tcPr>
          <w:p w:rsidR="001523E6" w:rsidRPr="001523E6" w:rsidRDefault="001523E6" w:rsidP="001523E6">
            <w:pPr>
              <w:rPr>
                <w:rFonts w:ascii="黑体" w:eastAsia="黑体" w:hAnsi="黑体"/>
                <w:sz w:val="28"/>
                <w:szCs w:val="28"/>
              </w:rPr>
            </w:pPr>
            <w:r w:rsidRPr="001523E6">
              <w:rPr>
                <w:rFonts w:ascii="黑体" w:eastAsia="黑体" w:hAnsi="黑体" w:hint="eastAsia"/>
                <w:sz w:val="28"/>
                <w:szCs w:val="28"/>
              </w:rPr>
              <w:t>评价项目</w:t>
            </w: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23E6">
              <w:rPr>
                <w:rFonts w:ascii="黑体" w:eastAsia="黑体" w:hAnsi="黑体" w:hint="eastAsia"/>
                <w:sz w:val="28"/>
                <w:szCs w:val="28"/>
              </w:rPr>
              <w:t>评价要点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523E6"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1523E6" w:rsidRPr="001523E6" w:rsidTr="0005790A">
        <w:trPr>
          <w:trHeight w:val="1265"/>
          <w:jc w:val="center"/>
        </w:trPr>
        <w:tc>
          <w:tcPr>
            <w:tcW w:w="1491" w:type="dxa"/>
            <w:vMerge w:val="restart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故事内容</w:t>
            </w:r>
          </w:p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（40分）</w:t>
            </w: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能围绕主题，观点正确、鲜明，内容充实具体，生动感人。（20分）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1523E6" w:rsidRPr="001523E6" w:rsidTr="0005790A">
        <w:trPr>
          <w:trHeight w:val="1424"/>
          <w:jc w:val="center"/>
        </w:trPr>
        <w:tc>
          <w:tcPr>
            <w:tcW w:w="1491" w:type="dxa"/>
            <w:vMerge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题材真实新颖，结合身边实际，事迹感人，具有教育意义，体现时代精神。（20分）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1523E6" w:rsidRPr="001523E6" w:rsidTr="0005790A">
        <w:trPr>
          <w:trHeight w:val="1260"/>
          <w:jc w:val="center"/>
        </w:trPr>
        <w:tc>
          <w:tcPr>
            <w:tcW w:w="1491" w:type="dxa"/>
            <w:vMerge w:val="restart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</w:p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语言表达</w:t>
            </w:r>
          </w:p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（30分）</w:t>
            </w: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表达准确、流畅、自然，能熟练表达所讲述的内容。（15分）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1523E6" w:rsidRPr="001523E6" w:rsidTr="0005790A">
        <w:trPr>
          <w:trHeight w:val="1406"/>
          <w:jc w:val="center"/>
        </w:trPr>
        <w:tc>
          <w:tcPr>
            <w:tcW w:w="1491" w:type="dxa"/>
            <w:vMerge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语言技巧处理得当，具有较强的感染力、吸引力和号召力，能引起观众共鸣。（15分）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1523E6" w:rsidRPr="001523E6" w:rsidTr="0005790A">
        <w:tblPrEx>
          <w:tblLook w:val="0000"/>
        </w:tblPrEx>
        <w:trPr>
          <w:trHeight w:val="1540"/>
          <w:jc w:val="center"/>
        </w:trPr>
        <w:tc>
          <w:tcPr>
            <w:tcW w:w="1491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形象台风（20分）</w:t>
            </w: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jc w:val="left"/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着装朴素大方，举止自然得体，有风度；能较好地运用姿态、动作、手势、表情，表达对所讲内容的理解。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1523E6" w:rsidRPr="001523E6" w:rsidTr="0005790A">
        <w:tblPrEx>
          <w:tblLook w:val="0000"/>
        </w:tblPrEx>
        <w:trPr>
          <w:trHeight w:val="1562"/>
          <w:jc w:val="center"/>
        </w:trPr>
        <w:tc>
          <w:tcPr>
            <w:tcW w:w="1491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形式创新（10分）</w:t>
            </w:r>
          </w:p>
        </w:tc>
        <w:tc>
          <w:tcPr>
            <w:tcW w:w="6056" w:type="dxa"/>
            <w:vAlign w:val="center"/>
          </w:tcPr>
          <w:p w:rsidR="001523E6" w:rsidRPr="001523E6" w:rsidRDefault="001523E6" w:rsidP="001523E6">
            <w:pPr>
              <w:jc w:val="left"/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能采用音诗画、情景剧等各种鲜活创新形式，营造良好的表现效果。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23E6" w:rsidRPr="001523E6" w:rsidRDefault="001523E6" w:rsidP="001523E6">
            <w:pPr>
              <w:widowControl/>
              <w:rPr>
                <w:rFonts w:ascii="仿宋_GB2312"/>
                <w:sz w:val="28"/>
                <w:szCs w:val="28"/>
              </w:rPr>
            </w:pPr>
          </w:p>
        </w:tc>
      </w:tr>
      <w:tr w:rsidR="001523E6" w:rsidRPr="001523E6" w:rsidTr="0005790A">
        <w:tblPrEx>
          <w:tblLook w:val="0000"/>
        </w:tblPrEx>
        <w:trPr>
          <w:trHeight w:val="1116"/>
          <w:jc w:val="center"/>
        </w:trPr>
        <w:tc>
          <w:tcPr>
            <w:tcW w:w="7547" w:type="dxa"/>
            <w:gridSpan w:val="2"/>
            <w:vAlign w:val="center"/>
          </w:tcPr>
          <w:p w:rsidR="001523E6" w:rsidRPr="001523E6" w:rsidRDefault="001523E6" w:rsidP="001523E6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1523E6">
              <w:rPr>
                <w:rFonts w:ascii="仿宋_GB2312" w:hint="eastAsia"/>
                <w:sz w:val="28"/>
                <w:szCs w:val="28"/>
              </w:rPr>
              <w:t>总分</w:t>
            </w:r>
          </w:p>
        </w:tc>
        <w:tc>
          <w:tcPr>
            <w:tcW w:w="1443" w:type="dxa"/>
            <w:vAlign w:val="center"/>
          </w:tcPr>
          <w:p w:rsidR="001523E6" w:rsidRPr="001523E6" w:rsidRDefault="001523E6" w:rsidP="001523E6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3E3918" w:rsidRPr="001523E6" w:rsidRDefault="003E3918"/>
    <w:sectPr w:rsidR="003E3918" w:rsidRPr="001523E6" w:rsidSect="003E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3E6"/>
    <w:rsid w:val="001523E6"/>
    <w:rsid w:val="003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6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2021-03-22T06:44:00Z</dcterms:created>
  <dcterms:modified xsi:type="dcterms:W3CDTF">2021-03-22T06:45:00Z</dcterms:modified>
</cp:coreProperties>
</file>